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18" w:rsidRPr="00232FEF" w:rsidRDefault="00232FEF" w:rsidP="00232FEF">
      <w:pPr>
        <w:spacing w:after="0" w:line="360" w:lineRule="auto"/>
        <w:ind w:right="213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</w:rPr>
        <w:t xml:space="preserve"> </w:t>
      </w:r>
    </w:p>
    <w:p w:rsidR="00F35418" w:rsidRPr="00232FEF" w:rsidRDefault="00232FEF" w:rsidP="00232FEF">
      <w:pPr>
        <w:spacing w:after="0" w:line="360" w:lineRule="auto"/>
        <w:ind w:right="2017"/>
        <w:jc w:val="both"/>
        <w:rPr>
          <w:rFonts w:cs="B Nazanin"/>
        </w:rPr>
      </w:pPr>
      <w:r w:rsidRPr="00232FEF">
        <w:rPr>
          <w:rFonts w:ascii="Titr" w:eastAsia="Titr" w:hAnsi="Titr" w:cs="B Nazanin"/>
          <w:b/>
          <w:bCs/>
          <w:sz w:val="24"/>
          <w:szCs w:val="24"/>
          <w:rtl/>
        </w:rPr>
        <w:t xml:space="preserve">پیوست شماره ی </w:t>
      </w:r>
      <w:r w:rsidRPr="00232FEF">
        <w:rPr>
          <w:rFonts w:ascii="Titr" w:eastAsia="Titr" w:hAnsi="Titr" w:cs="B Nazanin"/>
          <w:b/>
          <w:bCs/>
          <w:sz w:val="24"/>
          <w:szCs w:val="24"/>
        </w:rPr>
        <w:t>1</w:t>
      </w:r>
      <w:r w:rsidRPr="00232FEF">
        <w:rPr>
          <w:rFonts w:ascii="Titr" w:eastAsia="Titr" w:hAnsi="Titr" w:cs="B Nazanin"/>
          <w:b/>
          <w:bCs/>
          <w:sz w:val="24"/>
          <w:szCs w:val="24"/>
          <w:rtl/>
        </w:rPr>
        <w:t xml:space="preserve">- چک لیست عملکرد مسئول بهداشت حرفه ای </w:t>
      </w:r>
    </w:p>
    <w:tbl>
      <w:tblPr>
        <w:tblStyle w:val="TableGrid"/>
        <w:tblW w:w="10772" w:type="dxa"/>
        <w:tblInd w:w="-711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634"/>
        <w:gridCol w:w="1257"/>
        <w:gridCol w:w="1264"/>
        <w:gridCol w:w="705"/>
        <w:gridCol w:w="6312"/>
        <w:gridCol w:w="600"/>
      </w:tblGrid>
      <w:tr w:rsidR="00F35418" w:rsidRPr="00232FEF" w:rsidTr="00E129C6">
        <w:trPr>
          <w:trHeight w:val="85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F35418" w:rsidRPr="00232FEF" w:rsidRDefault="00232FEF" w:rsidP="00232FEF">
            <w:pPr>
              <w:spacing w:line="360" w:lineRule="auto"/>
              <w:ind w:right="109" w:firstLine="7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عدم کاربرد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F35418" w:rsidRPr="00232FEF" w:rsidRDefault="00232FEF" w:rsidP="00232FEF">
            <w:pPr>
              <w:spacing w:line="360" w:lineRule="auto"/>
              <w:ind w:left="50" w:right="110" w:hanging="5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کسب شده )پایش پیگیری(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F35418" w:rsidRPr="00232FEF" w:rsidRDefault="00232FEF" w:rsidP="00232FEF">
            <w:pPr>
              <w:spacing w:line="360" w:lineRule="auto"/>
              <w:ind w:right="113" w:firstLine="162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کسب شده)پایش اولیه(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F35418" w:rsidRPr="00232FEF" w:rsidRDefault="00232FEF" w:rsidP="00232FEF">
            <w:pPr>
              <w:spacing w:line="360" w:lineRule="auto"/>
              <w:ind w:left="263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  <w:p w:rsidR="00F35418" w:rsidRPr="00232FEF" w:rsidRDefault="00232FEF" w:rsidP="00232FEF">
            <w:pPr>
              <w:spacing w:line="360" w:lineRule="auto"/>
              <w:ind w:right="193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F35418" w:rsidRPr="00232FEF" w:rsidRDefault="00232FEF" w:rsidP="00232FEF">
            <w:pPr>
              <w:spacing w:line="360" w:lineRule="auto"/>
              <w:ind w:right="89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  <w:p w:rsidR="00F35418" w:rsidRPr="00232FEF" w:rsidRDefault="00232FEF" w:rsidP="00232FEF">
            <w:pPr>
              <w:spacing w:line="360" w:lineRule="auto"/>
              <w:ind w:right="109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F35418" w:rsidRPr="00232FEF" w:rsidRDefault="00232FEF" w:rsidP="00232FEF">
            <w:pPr>
              <w:spacing w:line="360" w:lineRule="auto"/>
              <w:ind w:left="209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  <w:p w:rsidR="00F35418" w:rsidRPr="00232FEF" w:rsidRDefault="00232FEF" w:rsidP="00232FEF">
            <w:pPr>
              <w:spacing w:line="360" w:lineRule="auto"/>
              <w:ind w:right="11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>ردیف</w:t>
            </w: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35418" w:rsidRPr="00232FEF" w:rsidTr="00E129C6">
        <w:trPr>
          <w:trHeight w:val="32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F35418" w:rsidRPr="00232FEF" w:rsidRDefault="00232FEF" w:rsidP="00232FEF">
            <w:pPr>
              <w:spacing w:line="360" w:lineRule="auto"/>
              <w:ind w:right="308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>بخش عمومی</w:t>
            </w: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</w:tr>
      <w:tr w:rsidR="00F35418" w:rsidRPr="00232FEF" w:rsidTr="00E129C6">
        <w:trPr>
          <w:trHeight w:val="43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420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 آیا مسئول بهداشت حرفه ای تائیدیه شروع به کار خود را از شبکه بهداشت اخذ نموده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7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</w:t>
            </w:r>
          </w:p>
        </w:tc>
      </w:tr>
      <w:tr w:rsidR="00F35418" w:rsidRPr="00232FEF" w:rsidTr="00E129C6"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با شبکه بهداشت همکاری داشته و در برنامه های اعلام شده شرکت می کند؟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6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</w:t>
            </w:r>
          </w:p>
        </w:tc>
      </w:tr>
      <w:tr w:rsidR="00F35418" w:rsidRPr="00232FEF" w:rsidTr="00E129C6"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" w:right="110" w:hanging="2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آیین نامه ها و دستورالعمل های بهداشتی مرتبط با فعالیت کارگاه به منظور انطباق کارگاه با مقررات مذکور در دسترس می باشد؟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5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</w:t>
            </w:r>
          </w:p>
        </w:tc>
      </w:tr>
      <w:tr w:rsidR="00F35418" w:rsidRPr="00232FEF" w:rsidTr="00E129C6"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7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نواقص بهداشتی محیط کار ثبت و جهت رفع و پیگیری به کارفرما منعکس می گردد؟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63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4</w:t>
            </w:r>
          </w:p>
        </w:tc>
      </w:tr>
      <w:tr w:rsidR="00F35418" w:rsidRPr="00232FEF" w:rsidTr="00E129C6">
        <w:trPr>
          <w:trHeight w:val="43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راه کارهای اجرایی جهت رفع نواقص بهداشتی به کارفرما ارائه می نماید؟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61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5</w:t>
            </w:r>
          </w:p>
        </w:tc>
      </w:tr>
      <w:tr w:rsidR="00F35418" w:rsidRPr="00232FEF" w:rsidTr="00E129C6">
        <w:trPr>
          <w:trHeight w:val="9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550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لازم به منظور تهیه و ارسال صورت جلسات کمیته حفاظت فنی و بهداشت کارو </w:t>
            </w:r>
          </w:p>
          <w:p w:rsidR="00F35418" w:rsidRPr="00232FEF" w:rsidRDefault="00232FEF" w:rsidP="00232FEF">
            <w:pPr>
              <w:spacing w:line="360" w:lineRule="auto"/>
              <w:ind w:right="312" w:firstLine="8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همچنین فرم های مربوط به نواقص بهداشتی و بیماریهای ناشی از کار به شبکه بهداشت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6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6</w:t>
            </w:r>
          </w:p>
        </w:tc>
      </w:tr>
      <w:tr w:rsidR="00F35418" w:rsidRPr="00232FEF" w:rsidTr="00E129C6"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" w:right="365" w:hanging="2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جلسات کمیته حفاظت فنی و بهداشت کار با حضور مسئول بهداشت حرفه ای به طور منظم تشکیل می گردد؟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61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7</w:t>
            </w:r>
          </w:p>
        </w:tc>
      </w:tr>
      <w:tr w:rsidR="00F35418" w:rsidRPr="00232FEF" w:rsidTr="00E129C6">
        <w:trPr>
          <w:trHeight w:val="58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" w:right="110" w:hanging="1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 xml:space="preserve">آیا با سازمان ها و ارگان های ذیربط به منظور پیشگیری و کنترل همه گیری بیماری های واگیر همکاری دارد؟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5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8</w:t>
            </w:r>
          </w:p>
        </w:tc>
      </w:tr>
      <w:tr w:rsidR="00F35418" w:rsidRPr="00232FEF" w:rsidTr="00E129C6">
        <w:trPr>
          <w:trHeight w:val="5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9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110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bCs/>
                <w:sz w:val="18"/>
                <w:szCs w:val="18"/>
                <w:rtl/>
              </w:rPr>
              <w:t xml:space="preserve">آیا پروتکل های بهداشتی ابلاغ شده از سوی وزارت بهداشت به ویژه در زمان بروز همه گیری بیماری های واگیر را اجرا می نماید؟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66"/>
              <w:jc w:val="both"/>
              <w:rPr>
                <w:rFonts w:cs="B Nazanin"/>
              </w:rPr>
            </w:pPr>
            <w:r w:rsidRPr="00232FEF">
              <w:rPr>
                <w:rFonts w:ascii="Times New Roman" w:eastAsia="Times New Roman" w:hAnsi="Times New Roman" w:cs="B Nazanin"/>
                <w:b/>
                <w:sz w:val="18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18"/>
              </w:rPr>
              <w:t>9</w:t>
            </w:r>
          </w:p>
        </w:tc>
      </w:tr>
      <w:tr w:rsidR="00F35418" w:rsidRPr="00232FEF" w:rsidTr="00E129C6">
        <w:trPr>
          <w:trHeight w:val="32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35418" w:rsidRPr="00232FEF" w:rsidRDefault="00232FEF" w:rsidP="00232FEF">
            <w:pPr>
              <w:spacing w:line="360" w:lineRule="auto"/>
              <w:ind w:right="3065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>بخش آموزش</w:t>
            </w: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</w:tr>
      <w:tr w:rsidR="00F35418" w:rsidRPr="00232FEF" w:rsidTr="00E129C6">
        <w:trPr>
          <w:trHeight w:val="6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110" w:firstLine="13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در خ صوص نحوه ا ستفاده صحیح از و سایل حفاظت فردی  به شاغلین آموزش داده شدهاست؟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4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10</w:t>
            </w:r>
          </w:p>
        </w:tc>
      </w:tr>
      <w:tr w:rsidR="00F35418" w:rsidRPr="00232FEF" w:rsidTr="00E129C6"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327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به شاغلین برای آمادگی و مقابله با شرایط اضطراری ورخداد شیمیایی آموزش داده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4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11</w:t>
            </w:r>
          </w:p>
        </w:tc>
      </w:tr>
      <w:tr w:rsidR="00F35418" w:rsidRPr="00232FEF" w:rsidTr="00E129C6">
        <w:trPr>
          <w:trHeight w:val="6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110" w:firstLine="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در دوره های آموزشی، بازآموزی، همایش ها و جلسات مرتبط با بهداشت حرفه ای اعلام شدهاز سوی شبکه بهداشت مربوطه شرکت نموده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34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12</w:t>
            </w:r>
          </w:p>
        </w:tc>
      </w:tr>
      <w:tr w:rsidR="00F35418" w:rsidRPr="00232FEF" w:rsidTr="00E129C6"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8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127" w:firstLine="4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از وسایل و مواد کمک آموزشی از جمله: پوستر، پمفلت، متون آموزشی و نظایر آن برای ارتقاء سطح آگاهی شاغلین استفاده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27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13</w:t>
            </w:r>
          </w:p>
        </w:tc>
      </w:tr>
      <w:tr w:rsidR="00F35418" w:rsidRPr="00232FEF" w:rsidTr="00E129C6">
        <w:trPr>
          <w:trHeight w:val="6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20"/>
              <w:jc w:val="both"/>
              <w:rPr>
                <w:rFonts w:cs="B Nazanin"/>
              </w:rPr>
            </w:pPr>
            <w:r w:rsidRPr="00232FEF">
              <w:rPr>
                <w:rFonts w:cs="B Nazanin"/>
                <w:b/>
                <w:sz w:val="20"/>
              </w:rPr>
              <w:t xml:space="preserve"> </w:t>
            </w:r>
            <w:r w:rsidRPr="00232FEF">
              <w:rPr>
                <w:rFonts w:ascii="Nazanin" w:eastAsia="Nazanin" w:hAnsi="Nazanin" w:cs="B Nazanin"/>
                <w:b/>
                <w:sz w:val="20"/>
              </w:rPr>
              <w:t>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614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از علائم هشداردهنده در محل های مناسب کارگاه جهت آگاهی کارگران، خود مراقبتی و ممنوعیت استعمال دخانیات و پیشگیری از بیماری های شغلی استفاده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32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14</w:t>
            </w:r>
          </w:p>
        </w:tc>
      </w:tr>
      <w:tr w:rsidR="00F35418" w:rsidRPr="00232FEF" w:rsidTr="00E129C6">
        <w:trPr>
          <w:trHeight w:val="32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F35418" w:rsidRPr="00232FEF" w:rsidRDefault="00232FEF" w:rsidP="00232FEF">
            <w:pPr>
              <w:spacing w:line="360" w:lineRule="auto"/>
              <w:ind w:right="3063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>بخش طب کار</w:t>
            </w: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418" w:rsidRPr="00232FEF" w:rsidRDefault="00F35418" w:rsidP="00232FEF">
            <w:pPr>
              <w:spacing w:line="360" w:lineRule="auto"/>
              <w:jc w:val="both"/>
              <w:rPr>
                <w:rFonts w:cs="B Nazanin"/>
              </w:rPr>
            </w:pPr>
          </w:p>
        </w:tc>
      </w:tr>
      <w:tr w:rsidR="00F35418" w:rsidRPr="00232FEF" w:rsidTr="00E129C6">
        <w:trPr>
          <w:trHeight w:val="43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پرونده بهداشتی برای کلیه شاغلین تشکیل و بایگانی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30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15</w:t>
            </w:r>
          </w:p>
        </w:tc>
      </w:tr>
      <w:tr w:rsidR="00E129C6" w:rsidRPr="00232FEF" w:rsidTr="00E129C6"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right="109" w:firstLine="7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lastRenderedPageBreak/>
              <w:t xml:space="preserve">عدم کاربرد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left="50" w:right="110" w:hanging="5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کسب شده )پایش پیگیری(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right="113" w:firstLine="162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کسب شده)پایش اولیه(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left="263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  <w:p w:rsidR="00E129C6" w:rsidRPr="00232FEF" w:rsidRDefault="00E129C6" w:rsidP="00E129C6">
            <w:pPr>
              <w:spacing w:line="360" w:lineRule="auto"/>
              <w:ind w:right="193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right="89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  <w:p w:rsidR="00E129C6" w:rsidRPr="00232FEF" w:rsidRDefault="00E129C6" w:rsidP="00E129C6">
            <w:pPr>
              <w:spacing w:line="360" w:lineRule="auto"/>
              <w:ind w:right="109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left="209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  <w:p w:rsidR="00E129C6" w:rsidRPr="00232FEF" w:rsidRDefault="00E129C6" w:rsidP="00E129C6">
            <w:pPr>
              <w:spacing w:line="360" w:lineRule="auto"/>
              <w:ind w:right="11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>ردیف</w:t>
            </w: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35418" w:rsidRPr="00232FEF" w:rsidTr="00E129C6"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" w:right="151" w:hanging="3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لازم برای انجام معاینات قبل از استخدام  به منظور به کار گماردن شاغلین متناسب با شغل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34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16</w:t>
            </w:r>
          </w:p>
        </w:tc>
      </w:tr>
      <w:tr w:rsidR="00F35418" w:rsidRPr="00232FEF" w:rsidTr="00E129C6"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لازم برای انجام معاینات ادواری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30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17</w:t>
            </w:r>
          </w:p>
        </w:tc>
      </w:tr>
      <w:tr w:rsidR="00F35418" w:rsidRPr="00232FEF" w:rsidTr="00E129C6"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312" w:firstLine="1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 پیگیری  لازم در خصوص انجام معاینات اختصاصی بر اساس نتایج آلاینده سنجی با نظر  متخصص طب کار یا پزشک دوره دیده طب کار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27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18</w:t>
            </w:r>
          </w:p>
        </w:tc>
      </w:tr>
      <w:tr w:rsidR="00F35418" w:rsidRPr="00232FEF" w:rsidTr="00E129C6"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130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بر اساس نتایج معاینات شغلی میزان بروز و شیوع بیماریهای ناشی از کار تعیین شده است؟  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2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sz w:val="18"/>
              </w:rPr>
              <w:t xml:space="preserve"> 19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550" w:firstLine="1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موارد مشکوک به بیماریهای شغلی به شبکه بهداشت مربوطه و یا سایر مراجع ذیصلاح مطابق مقررات جاری اعلام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34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20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9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223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لازم در تعیین شغل مناسب برای کارگرانی که به تشخیص پزشک متخصص طب کار </w:t>
            </w:r>
          </w:p>
          <w:p w:rsidR="00F35418" w:rsidRPr="00232FEF" w:rsidRDefault="00232FEF" w:rsidP="00232FEF">
            <w:pPr>
              <w:spacing w:line="360" w:lineRule="auto"/>
              <w:ind w:right="168" w:firstLine="7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یا پزشک دوره دیده طب کار  به بیماریهای حرفه ای مبتلا شده اند و یا در معرض ابتلا قرار دارند انجام گرفته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34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21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43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401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لازم در خصوص ارائه خدمات کمک های اولیه و اورژانس به شاغلین وجود دارد 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22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22</w:t>
            </w:r>
          </w:p>
        </w:tc>
      </w:tr>
      <w:tr w:rsidR="00F35418" w:rsidRPr="00232FEF">
        <w:tblPrEx>
          <w:tblCellMar>
            <w:top w:w="1" w:type="dxa"/>
          </w:tblCellMar>
        </w:tblPrEx>
        <w:trPr>
          <w:trHeight w:val="324"/>
        </w:trPr>
        <w:tc>
          <w:tcPr>
            <w:tcW w:w="10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418" w:rsidRPr="00232FEF" w:rsidRDefault="00232FEF" w:rsidP="00232FEF">
            <w:pPr>
              <w:spacing w:line="360" w:lineRule="auto"/>
              <w:ind w:right="10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bCs/>
                <w:sz w:val="18"/>
                <w:szCs w:val="18"/>
                <w:rtl/>
              </w:rPr>
              <w:t>بخش بهداشت حرفه ای</w:t>
            </w: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156" w:firstLine="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خط مشی بهداشت حرفه ای کارگاه با توجه به شرایط اختصاصی محیط کار تدوین و به تأیید کارفرما رسیده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1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23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" w:right="367" w:hanging="2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>آیا برنامه ای جهت بازدید مستمر از فرایند انجام کار )از نظر بهداشتی( و شرایط بهداشتی کار کارگران و میزان مواجهه آنان با عوامل زیان آور تدوین شده است؟</w:t>
            </w:r>
            <w:r w:rsidRPr="00232FEF">
              <w:rPr>
                <w:rFonts w:ascii="Yagut" w:eastAsia="Yagut" w:hAnsi="Yagut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20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24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" w:right="490" w:hanging="1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 چک لیست خود اظهاری بهداشت حرفه ای کارگاهی را تکمیل و به شبکه بهداشت مربوطه ارسال نموده است؟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1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25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9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9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418" w:firstLine="1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شناسایی عوامل زیان آور شغلی مشتمل بر فیزیکی )صدا، ارتعاش، استرس های حرارتی ،پرتو و روشنایی نامطلوب(، شیمیایی، بیولوژیکی و مکانیکی در محیط کار انجام و ثبت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22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26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27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38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34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233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کانون ایجاد خطرات بهداشتی و ارزیابی ریسک عوامل زیان آور محیط کار تعیین شده است؟ و در جهت رفع آن اقدامات کنترلی انجام داده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1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27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420" w:firstLine="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های لازم برای اندازه گیری عوامل زیان آور محیط کار و ثبت آن بر اساس برنامه ریزی سالیانه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1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28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9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334" w:firstLine="7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های لازم برای کنترل های فنی مهندسی به منظور کاهش عوامل زیان آور شیمیایی محیط کار به زیر حدود مجاز مواجهات شغلی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22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29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9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9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5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362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های لازم برای کنترل های فنی مهندسی به منظور کاهش مواجهه شاغلین با عوامل </w:t>
            </w:r>
          </w:p>
          <w:p w:rsidR="00F35418" w:rsidRPr="00232FEF" w:rsidRDefault="00232FEF" w:rsidP="00232FEF">
            <w:pPr>
              <w:spacing w:line="360" w:lineRule="auto"/>
              <w:ind w:right="144" w:firstLine="6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زیان آور فیزیکی محیط کار )صدا، ارتعاش، استرس های حرارتی، پرتو و روشنایی نامطلوب(  به زیر حدود مجاز مواجهات شغلی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27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30</w:t>
            </w:r>
          </w:p>
        </w:tc>
      </w:tr>
      <w:tr w:rsidR="00E129C6" w:rsidRPr="00232FEF" w:rsidTr="007D368E">
        <w:tblPrEx>
          <w:tblCellMar>
            <w:top w:w="1" w:type="dxa"/>
          </w:tblCellMar>
        </w:tblPrEx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right="109" w:firstLine="7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lastRenderedPageBreak/>
              <w:t xml:space="preserve">عدم کاربرد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left="50" w:right="110" w:hanging="5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کسب شده )پایش پیگیری(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right="113" w:firstLine="162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کسب شده)پایش اولیه(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left="263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  <w:p w:rsidR="00E129C6" w:rsidRPr="00232FEF" w:rsidRDefault="00E129C6" w:rsidP="00E129C6">
            <w:pPr>
              <w:spacing w:line="360" w:lineRule="auto"/>
              <w:ind w:right="193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 xml:space="preserve">امتیاز 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right="89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  <w:p w:rsidR="00E129C6" w:rsidRPr="00232FEF" w:rsidRDefault="00E129C6" w:rsidP="00E129C6">
            <w:pPr>
              <w:spacing w:line="360" w:lineRule="auto"/>
              <w:ind w:right="109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F0C6"/>
          </w:tcPr>
          <w:p w:rsidR="00E129C6" w:rsidRPr="00232FEF" w:rsidRDefault="00E129C6" w:rsidP="00E129C6">
            <w:pPr>
              <w:spacing w:line="360" w:lineRule="auto"/>
              <w:ind w:left="209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sz w:val="18"/>
              </w:rPr>
              <w:t xml:space="preserve"> </w:t>
            </w:r>
          </w:p>
          <w:p w:rsidR="00E129C6" w:rsidRPr="00232FEF" w:rsidRDefault="00E129C6" w:rsidP="00E129C6">
            <w:pPr>
              <w:spacing w:line="360" w:lineRule="auto"/>
              <w:ind w:right="110"/>
              <w:jc w:val="both"/>
              <w:rPr>
                <w:rFonts w:cs="B Nazanin"/>
              </w:rPr>
            </w:pPr>
            <w:r w:rsidRPr="00232FEF">
              <w:rPr>
                <w:rFonts w:ascii="Zar" w:eastAsia="Zar" w:hAnsi="Zar" w:cs="B Nazanin"/>
                <w:b/>
                <w:bCs/>
                <w:sz w:val="18"/>
                <w:szCs w:val="18"/>
                <w:rtl/>
              </w:rPr>
              <w:t>ردیف</w:t>
            </w:r>
            <w:r w:rsidRPr="00232FEF">
              <w:rPr>
                <w:rFonts w:ascii="Titr" w:eastAsia="Titr" w:hAnsi="Titr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9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6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ریسک فاکتورهای ارگونومیکی در محیط کار شناسایی و ثبت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27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31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9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35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پیگیری های لازم برای اصلاح ریسک فاکتورهای ارگونومی در محیط کار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1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32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242" w:firstLine="3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گزارش مربوط به ثبت سنجش ها و اندازه گیری ها و اقدامات کنترلی انجام شده برای شبکه بهداشت مربوطه ارسال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0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33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17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1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249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در زمان اندازه گیری عوامل زیان آور کارگاه توسط شرکتهای خصوصی ارائه دهنده خدمات </w:t>
            </w:r>
          </w:p>
          <w:p w:rsidR="00F35418" w:rsidRPr="00232FEF" w:rsidRDefault="00232FEF" w:rsidP="00232FEF">
            <w:pPr>
              <w:spacing w:line="360" w:lineRule="auto"/>
              <w:ind w:right="2882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بهداشت حرفه ای حضور و نظارت مؤثر داشته است؟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2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sz w:val="18"/>
              </w:rPr>
              <w:t xml:space="preserve"> 34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5" w:right="257" w:hanging="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>آیا مسائل و مشکلات</w:t>
            </w:r>
            <w:r w:rsidRPr="00232FEF">
              <w:rPr>
                <w:rFonts w:ascii="Arial" w:eastAsia="Arial" w:hAnsi="Arial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و نواقص بهداشتی و پیشنهادات لازم به کارفرما جهت رفع نواقص و سالم سازی محیط کار در جلسات کمیته حفاظت فنی و بهداشت کار ارائه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10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35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5" w:right="286" w:hanging="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نواقص بهداشتی اعلام شده توسط از سوی شبکه بهداشت  ظرف مهلت مقرر توسط مسئول بهداشت حرفه ای در کمیته حفاظت فنی و بهداشت کار مطرح و رفع شده است؟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1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36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9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175" w:firstLine="5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نظارت بر حسن اجرای ضوابط مربوط به آیین نامه تاًًسیسات و تسهیلات کارگاه از نظر بهداشت می گردد ؟)آب آشامیدنی، زباله، فاضلاب، رختکن، حمام، غذاخوری، آشپزخانه، ساختمان ،سم پاشی و(...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0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37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247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وسایل حفاظت فردی مناسب برای پیشگیری از پیامدهای بهداشتی ناشی از مواجهه با عوامل زیان آور محیط کار برای شاغلین تهیه و در اختیار آنان قرار داده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0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38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221" w:firstLine="2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برای پیشگیری از وقوع رخداد های شیمیایی چک لیست مربوطه ابلاغ شده روزانه تکمیل می گردد؟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1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39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4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367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حمل، جابجایی و  انبار داری مواد شیمیایی مطابق دستورالعملهای مربوطه انجام میشود ؟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32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40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" w:right="454" w:hanging="1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</w:t>
            </w:r>
            <w:r w:rsidRPr="00232FEF">
              <w:rPr>
                <w:rFonts w:ascii="Arial" w:eastAsia="Arial" w:hAnsi="Arial" w:cs="B Nazanin"/>
                <w:b/>
                <w:sz w:val="18"/>
              </w:rPr>
              <w:t>MSDS</w:t>
            </w: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  یا </w:t>
            </w:r>
            <w:r w:rsidRPr="00232FEF">
              <w:rPr>
                <w:rFonts w:ascii="Arial" w:eastAsia="Arial" w:hAnsi="Arial" w:cs="B Nazanin"/>
                <w:b/>
                <w:sz w:val="18"/>
              </w:rPr>
              <w:t>SDS</w:t>
            </w:r>
            <w:r w:rsidRPr="00232FEF">
              <w:rPr>
                <w:rFonts w:ascii="Arial" w:eastAsia="Arial" w:hAnsi="Arial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مواد شیمیایی مطابق فرمت های استاندارد تهیه و در دسترس افراد در معرض خطر قرار گرفته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32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41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205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2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110" w:firstLine="2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برچسببب گذاری مواد شببیمیایی مطابق نظام هماهنن بین المللی ) </w:t>
            </w:r>
            <w:r w:rsidRPr="00232FEF">
              <w:rPr>
                <w:rFonts w:ascii="Arial" w:eastAsia="Arial" w:hAnsi="Arial" w:cs="B Nazanin"/>
                <w:b/>
                <w:sz w:val="18"/>
              </w:rPr>
              <w:t>GHS</w:t>
            </w: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( بر اسبباس راهنمای ابلاغ شده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20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42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4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9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6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امتیاز کسب شده از ارزشیابی عملکرد مسئول بهداشت حرفه ای توسط کارفرما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113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43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96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3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232FEF" w:rsidP="00232FEF">
            <w:pPr>
              <w:spacing w:line="360" w:lineRule="auto"/>
              <w:ind w:left="6" w:right="110" w:hanging="6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18"/>
                <w:szCs w:val="18"/>
                <w:rtl/>
              </w:rPr>
              <w:t xml:space="preserve">آیا نظارت بر رعایت بهداشت فردی توسط شاغلین به ویژه در شرایط اضطراری بهداشتی و وقوع همه گیری بیماری های عفونی انجام شده است؟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418" w:rsidRPr="00232FEF" w:rsidRDefault="00232FEF" w:rsidP="00232FEF">
            <w:pPr>
              <w:spacing w:line="360" w:lineRule="auto"/>
              <w:ind w:left="11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44</w:t>
            </w:r>
          </w:p>
        </w:tc>
      </w:tr>
      <w:tr w:rsidR="00F35418" w:rsidRPr="00232FEF" w:rsidTr="00E129C6">
        <w:tblPrEx>
          <w:tblCellMar>
            <w:top w:w="1" w:type="dxa"/>
          </w:tblCellMar>
        </w:tblPrEx>
        <w:trPr>
          <w:trHeight w:val="46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418" w:rsidRPr="00232FEF" w:rsidRDefault="00232FEF" w:rsidP="00232FEF">
            <w:pPr>
              <w:spacing w:line="360" w:lineRule="auto"/>
              <w:ind w:left="331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418" w:rsidRPr="00232FEF" w:rsidRDefault="00232FEF" w:rsidP="00232FEF">
            <w:pPr>
              <w:spacing w:line="360" w:lineRule="auto"/>
              <w:ind w:right="77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418" w:rsidRPr="00232FEF" w:rsidRDefault="00232FEF" w:rsidP="00232FEF">
            <w:pPr>
              <w:spacing w:line="360" w:lineRule="auto"/>
              <w:ind w:right="76"/>
              <w:jc w:val="both"/>
              <w:rPr>
                <w:rFonts w:cs="B Nazanin"/>
              </w:rPr>
            </w:pPr>
            <w:r w:rsidRPr="00232FEF">
              <w:rPr>
                <w:rFonts w:ascii="Titr" w:eastAsia="Titr" w:hAnsi="Titr" w:cs="B Nazanin"/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418" w:rsidRPr="00232FEF" w:rsidRDefault="00232FEF" w:rsidP="00232FEF">
            <w:pPr>
              <w:spacing w:line="360" w:lineRule="auto"/>
              <w:ind w:left="148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20"/>
              </w:rPr>
              <w:t xml:space="preserve"> 100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F35418" w:rsidRPr="00232FEF" w:rsidRDefault="00232FEF" w:rsidP="00232FEF">
            <w:pPr>
              <w:spacing w:line="360" w:lineRule="auto"/>
              <w:ind w:right="111"/>
              <w:jc w:val="both"/>
              <w:rPr>
                <w:rFonts w:cs="B Nazanin"/>
              </w:rPr>
            </w:pPr>
            <w:r w:rsidRPr="00232FEF">
              <w:rPr>
                <w:rFonts w:ascii="Yagut" w:eastAsia="Yagut" w:hAnsi="Yagut" w:cs="B Nazanin"/>
                <w:b/>
                <w:bCs/>
                <w:sz w:val="20"/>
                <w:szCs w:val="20"/>
                <w:rtl/>
              </w:rPr>
              <w:t>جمع امتیاز</w:t>
            </w:r>
            <w:r w:rsidRPr="00232FEF">
              <w:rPr>
                <w:rFonts w:ascii="Yagut" w:eastAsia="Yagut" w:hAnsi="Yagut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35418" w:rsidRPr="00232FEF" w:rsidRDefault="00232FEF" w:rsidP="00232FEF">
            <w:pPr>
              <w:spacing w:line="360" w:lineRule="auto"/>
              <w:ind w:left="209"/>
              <w:jc w:val="both"/>
              <w:rPr>
                <w:rFonts w:cs="B Nazanin"/>
              </w:rPr>
            </w:pPr>
            <w:r w:rsidRPr="00232FEF">
              <w:rPr>
                <w:rFonts w:ascii="Nazanin" w:eastAsia="Nazanin" w:hAnsi="Nazanin" w:cs="B Nazanin"/>
                <w:b/>
                <w:sz w:val="18"/>
              </w:rPr>
              <w:t xml:space="preserve"> </w:t>
            </w:r>
          </w:p>
        </w:tc>
      </w:tr>
    </w:tbl>
    <w:p w:rsidR="00F35418" w:rsidRPr="00232FEF" w:rsidRDefault="00F35418" w:rsidP="00232FEF">
      <w:pPr>
        <w:spacing w:after="0" w:line="360" w:lineRule="auto"/>
        <w:ind w:right="638"/>
        <w:jc w:val="both"/>
        <w:rPr>
          <w:rFonts w:cs="B Nazanin"/>
        </w:rPr>
      </w:pPr>
    </w:p>
    <w:p w:rsidR="00F35418" w:rsidRPr="00232FEF" w:rsidRDefault="00232FEF" w:rsidP="00232FEF">
      <w:pPr>
        <w:spacing w:after="0" w:line="360" w:lineRule="auto"/>
        <w:ind w:left="572"/>
        <w:jc w:val="both"/>
        <w:rPr>
          <w:rFonts w:cs="B Nazanin"/>
        </w:rPr>
      </w:pPr>
      <w:r w:rsidRPr="00232FEF">
        <w:rPr>
          <w:rFonts w:ascii="Mitra" w:eastAsia="Mitra" w:hAnsi="Mitra" w:cs="B Nazanin"/>
          <w:b/>
          <w:bCs/>
          <w:sz w:val="28"/>
          <w:szCs w:val="28"/>
          <w:rtl/>
        </w:rPr>
        <w:t xml:space="preserve">راهنمای امتیاز دهی: </w:t>
      </w:r>
    </w:p>
    <w:p w:rsidR="00F35418" w:rsidRPr="00232FEF" w:rsidRDefault="00232FEF" w:rsidP="00232FEF">
      <w:pPr>
        <w:spacing w:after="0" w:line="360" w:lineRule="auto"/>
        <w:ind w:left="563" w:right="-14" w:hanging="8"/>
        <w:jc w:val="both"/>
        <w:rPr>
          <w:rFonts w:cs="B Nazanin"/>
        </w:rPr>
      </w:pP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>نکته</w:t>
      </w:r>
      <w:r w:rsidRPr="00232FEF">
        <w:rPr>
          <w:rFonts w:ascii="Mitra" w:eastAsia="Mitra" w:hAnsi="Mitra" w:cs="B Nazanin"/>
          <w:b/>
          <w:bCs/>
          <w:sz w:val="24"/>
          <w:szCs w:val="24"/>
        </w:rPr>
        <w:t>1</w:t>
      </w: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>: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برای تخصیص امتیاز به هر سئوال این چک لیست، در صورتی که اقدامات و پیگیری های لازم در راستای شرح وظایف محوله به صورت کامل انجام شده باشد امتیاز کامل مطابق ستون سوم تعلق خواهد گرفت و در صورتی که بخشی از کار انجام شده باشد با </w:t>
      </w:r>
      <w:r w:rsidRPr="00232FEF">
        <w:rPr>
          <w:rFonts w:ascii="Mitra" w:eastAsia="Mitra" w:hAnsi="Mitra" w:cs="B Nazanin"/>
          <w:sz w:val="24"/>
          <w:szCs w:val="24"/>
          <w:rtl/>
        </w:rPr>
        <w:lastRenderedPageBreak/>
        <w:t xml:space="preserve">توجه به میزان کار انجام شده و وزن آن امتیاز لازم داده خواهد شدو اگر موردی از بندهای چک لیست در کارگاه مورد نظر موضوعیت نداشته باشد ستون عدم کاربرد علامت زده می شود.. </w:t>
      </w:r>
    </w:p>
    <w:p w:rsidR="00F35418" w:rsidRPr="00232FEF" w:rsidRDefault="00232FEF" w:rsidP="00232FEF">
      <w:pPr>
        <w:spacing w:after="0" w:line="360" w:lineRule="auto"/>
        <w:ind w:left="563" w:right="-14" w:hanging="8"/>
        <w:jc w:val="both"/>
        <w:rPr>
          <w:rFonts w:cs="B Nazanin"/>
        </w:rPr>
      </w:pP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 xml:space="preserve">نکته </w:t>
      </w:r>
      <w:r w:rsidRPr="00232FEF">
        <w:rPr>
          <w:rFonts w:ascii="Mitra" w:eastAsia="Mitra" w:hAnsi="Mitra" w:cs="B Nazanin"/>
          <w:b/>
          <w:bCs/>
          <w:sz w:val="24"/>
          <w:szCs w:val="24"/>
        </w:rPr>
        <w:t>2</w:t>
      </w: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>: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درصد امتیاز کسب شده از چک لیست فوق الاشاره مبنای تعیین صلاحیت مسئول بهداشت حرفه ای می باشد که بدین نحو محاسبه می گردد: </w:t>
      </w:r>
    </w:p>
    <w:p w:rsidR="00F35418" w:rsidRPr="00232FEF" w:rsidRDefault="00232FEF" w:rsidP="00232FEF">
      <w:pPr>
        <w:spacing w:after="0" w:line="360" w:lineRule="auto"/>
        <w:ind w:right="638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</w:rPr>
        <w:t xml:space="preserve"> </w:t>
      </w:r>
    </w:p>
    <w:tbl>
      <w:tblPr>
        <w:tblStyle w:val="TableGrid"/>
        <w:tblW w:w="7701" w:type="dxa"/>
        <w:tblInd w:w="1204" w:type="dxa"/>
        <w:tblCellMar>
          <w:top w:w="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01"/>
      </w:tblGrid>
      <w:tr w:rsidR="00F35418" w:rsidRPr="00232FEF" w:rsidTr="00530D12">
        <w:trPr>
          <w:trHeight w:val="1244"/>
        </w:trPr>
        <w:tc>
          <w:tcPr>
            <w:tcW w:w="7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8" w:rsidRPr="00232FEF" w:rsidRDefault="00530D12" w:rsidP="00232FEF">
            <w:pPr>
              <w:spacing w:line="360" w:lineRule="auto"/>
              <w:ind w:right="1622"/>
              <w:jc w:val="both"/>
              <w:rPr>
                <w:rFonts w:cs="B Nazanin"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232FEF"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جمع</w:t>
            </w:r>
            <w:r w:rsidR="00232FEF"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="00232FEF"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امتیازات</w:t>
            </w:r>
            <w:r w:rsidR="00232FEF"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="00232FEF"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کسب</w:t>
            </w:r>
            <w:r w:rsidR="00232FEF"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="00232FEF"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شده</w:t>
            </w:r>
            <w:r w:rsidR="00232FEF"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</w:p>
          <w:p w:rsidR="00F35418" w:rsidRPr="00232FEF" w:rsidRDefault="00232FEF" w:rsidP="00232FEF">
            <w:pPr>
              <w:spacing w:line="360" w:lineRule="auto"/>
              <w:ind w:right="51"/>
              <w:jc w:val="both"/>
              <w:rPr>
                <w:rFonts w:cs="B Nazanin"/>
              </w:rPr>
            </w:pPr>
            <w:r w:rsidRPr="00232FEF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232FEF">
              <w:rPr>
                <w:rFonts w:ascii="Cambria Math" w:eastAsia="Cambria Math" w:hAnsi="Cambria Math" w:cs="B Nazanin"/>
                <w:sz w:val="24"/>
              </w:rPr>
              <w:t>𝟏𝟎𝟎</w:t>
            </w:r>
            <w:r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Pr="00232FEF">
              <w:rPr>
                <w:rFonts w:ascii="Cambria Math" w:eastAsia="Cambria Math" w:hAnsi="Cambria Math" w:cs="Cambria Math" w:hint="cs"/>
                <w:sz w:val="24"/>
                <w:szCs w:val="24"/>
                <w:rtl/>
              </w:rPr>
              <w:t>∗</w:t>
            </w:r>
            <w:r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Pr="00232FEF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>
                      <wp:extent cx="1682750" cy="10668"/>
                      <wp:effectExtent l="0" t="0" r="0" b="0"/>
                      <wp:docPr id="101889" name="Group 101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2750" cy="10668"/>
                                <a:chOff x="0" y="0"/>
                                <a:chExt cx="1682750" cy="10668"/>
                              </a:xfrm>
                            </wpg:grpSpPr>
                            <wps:wsp>
                              <wps:cNvPr id="191930" name="Shape 191930"/>
                              <wps:cNvSpPr/>
                              <wps:spPr>
                                <a:xfrm>
                                  <a:off x="0" y="0"/>
                                  <a:ext cx="168275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750" h="10668">
                                      <a:moveTo>
                                        <a:pt x="0" y="0"/>
                                      </a:moveTo>
                                      <a:lnTo>
                                        <a:pt x="1682750" y="0"/>
                                      </a:lnTo>
                                      <a:lnTo>
                                        <a:pt x="168275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1889" style="width:132.5pt;height:0.840027pt;mso-position-horizontal-relative:char;mso-position-vertical-relative:line" coordsize="16827,106">
                      <v:shape id="Shape 191931" style="position:absolute;width:16827;height:106;left:0;top:0;" coordsize="1682750,10668" path="m0,0l1682750,0l1682750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=</w:t>
            </w:r>
            <w:r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 درصد</w:t>
            </w:r>
            <w:r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امتیاز</w:t>
            </w:r>
            <w:r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کسب</w:t>
            </w:r>
            <w:r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شده</w:t>
            </w:r>
          </w:p>
          <w:p w:rsidR="00F35418" w:rsidRPr="00232FEF" w:rsidRDefault="00530D12" w:rsidP="00232FEF">
            <w:pPr>
              <w:spacing w:line="360" w:lineRule="auto"/>
              <w:ind w:right="1566"/>
              <w:jc w:val="both"/>
              <w:rPr>
                <w:rFonts w:cs="B Nazanin"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232FEF"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جمع</w:t>
            </w:r>
            <w:r w:rsidR="00232FEF"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="00232FEF"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امتیاز</w:t>
            </w:r>
            <w:r w:rsidR="00232FEF"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="00232FEF"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ستون</w:t>
            </w:r>
            <w:r w:rsidR="00232FEF"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="00232FEF" w:rsidRPr="00232FEF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چهارم</w:t>
            </w:r>
            <w:r w:rsidR="00232FEF" w:rsidRPr="00232FEF">
              <w:rPr>
                <w:rFonts w:ascii="Cambria Math" w:eastAsia="Cambria Math" w:hAnsi="Cambria Math" w:cs="B Nazanin"/>
                <w:sz w:val="24"/>
                <w:szCs w:val="24"/>
                <w:rtl/>
              </w:rPr>
              <w:t xml:space="preserve"> </w:t>
            </w:r>
            <w:r w:rsidR="00232FEF" w:rsidRPr="00232FEF">
              <w:rPr>
                <w:rFonts w:ascii="Times New Roman" w:eastAsia="Cambria Math" w:hAnsi="Times New Roman" w:cs="Times New Roman" w:hint="cs"/>
                <w:sz w:val="24"/>
                <w:szCs w:val="24"/>
                <w:rtl/>
              </w:rPr>
              <w:t>−</w:t>
            </w:r>
            <w:r w:rsidR="00232FEF" w:rsidRPr="00232FEF">
              <w:rPr>
                <w:rFonts w:ascii="Cambria Math" w:eastAsia="Cambria Math" w:hAnsi="Cambria Math" w:cs="B Nazanin"/>
                <w:sz w:val="24"/>
              </w:rPr>
              <w:t xml:space="preserve">𝟏𝟎𝟎 </w:t>
            </w:r>
          </w:p>
        </w:tc>
      </w:tr>
    </w:tbl>
    <w:p w:rsidR="00F35418" w:rsidRPr="00232FEF" w:rsidRDefault="00232FEF" w:rsidP="00232FEF">
      <w:pPr>
        <w:spacing w:after="0" w:line="360" w:lineRule="auto"/>
        <w:ind w:right="638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</w:rPr>
        <w:t xml:space="preserve"> </w:t>
      </w:r>
    </w:p>
    <w:p w:rsidR="00530D12" w:rsidRDefault="00232FEF" w:rsidP="00530D12">
      <w:pPr>
        <w:spacing w:after="0" w:line="360" w:lineRule="auto"/>
        <w:ind w:left="563" w:right="2520" w:hanging="8"/>
        <w:jc w:val="both"/>
        <w:rPr>
          <w:rFonts w:ascii="Mitra" w:eastAsia="Mitra" w:hAnsi="Mitra" w:cs="B Nazanin"/>
          <w:sz w:val="24"/>
          <w:szCs w:val="24"/>
          <w:rtl/>
        </w:rPr>
      </w:pPr>
      <w:r w:rsidRPr="00232FEF">
        <w:rPr>
          <w:rFonts w:ascii="Mitra" w:eastAsia="Mitra" w:hAnsi="Mitra" w:cs="B Nazanin"/>
          <w:sz w:val="24"/>
          <w:szCs w:val="24"/>
          <w:rtl/>
        </w:rPr>
        <w:t xml:space="preserve">صورت کسر: مجموع امتیازات کسب شده توسط مسئول بهداشت حرفه ای در </w:t>
      </w:r>
      <w:r w:rsidR="00530D12">
        <w:rPr>
          <w:rFonts w:ascii="Mitra" w:eastAsia="Mitra" w:hAnsi="Mitra" w:cs="B Nazanin" w:hint="cs"/>
          <w:sz w:val="24"/>
          <w:szCs w:val="24"/>
          <w:rtl/>
        </w:rPr>
        <w:t>ستون چهارم</w:t>
      </w:r>
    </w:p>
    <w:p w:rsidR="00F35418" w:rsidRPr="00232FEF" w:rsidRDefault="00232FEF" w:rsidP="00530D12">
      <w:pPr>
        <w:spacing w:after="0" w:line="360" w:lineRule="auto"/>
        <w:ind w:left="563" w:right="2520" w:hanging="8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  <w:szCs w:val="24"/>
          <w:rtl/>
        </w:rPr>
        <w:t xml:space="preserve"> </w:t>
      </w:r>
      <w:r w:rsidR="00530D12">
        <w:rPr>
          <w:rFonts w:ascii="Mitra" w:eastAsia="Mitra" w:hAnsi="Mitra" w:cs="B Nazanin" w:hint="cs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مخرج کسر: </w:t>
      </w:r>
      <w:r w:rsidRPr="00232FEF">
        <w:rPr>
          <w:rFonts w:ascii="Mitra" w:eastAsia="Mitra" w:hAnsi="Mitra" w:cs="B Nazanin"/>
          <w:sz w:val="24"/>
          <w:szCs w:val="24"/>
        </w:rPr>
        <w:t>100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منهای جمع امتیازات ستون عدم کاربرد </w:t>
      </w:r>
    </w:p>
    <w:p w:rsidR="00F35418" w:rsidRPr="00232FEF" w:rsidRDefault="00232FEF" w:rsidP="00232FEF">
      <w:pPr>
        <w:spacing w:after="0" w:line="360" w:lineRule="auto"/>
        <w:ind w:left="563" w:right="-14" w:hanging="8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  <w:szCs w:val="24"/>
          <w:rtl/>
        </w:rPr>
        <w:t xml:space="preserve">مثال: به عنوان مثال اگر در ارزیابی فردی در چک لیست فوق در مقابل آیتم های </w:t>
      </w:r>
      <w:r w:rsidRPr="00232FEF">
        <w:rPr>
          <w:rFonts w:ascii="Mitra" w:eastAsia="Mitra" w:hAnsi="Mitra" w:cs="B Nazanin"/>
          <w:sz w:val="24"/>
          <w:szCs w:val="24"/>
        </w:rPr>
        <w:t>29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و </w:t>
      </w:r>
      <w:r w:rsidRPr="00232FEF">
        <w:rPr>
          <w:rFonts w:ascii="Mitra" w:eastAsia="Mitra" w:hAnsi="Mitra" w:cs="B Nazanin"/>
          <w:sz w:val="24"/>
          <w:szCs w:val="24"/>
        </w:rPr>
        <w:t>40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و </w:t>
      </w:r>
      <w:r w:rsidRPr="00232FEF">
        <w:rPr>
          <w:rFonts w:ascii="Mitra" w:eastAsia="Mitra" w:hAnsi="Mitra" w:cs="B Nazanin"/>
          <w:sz w:val="24"/>
          <w:szCs w:val="24"/>
        </w:rPr>
        <w:t>41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و </w:t>
      </w:r>
      <w:r w:rsidRPr="00232FEF">
        <w:rPr>
          <w:rFonts w:ascii="Mitra" w:eastAsia="Mitra" w:hAnsi="Mitra" w:cs="B Nazanin"/>
          <w:sz w:val="24"/>
          <w:szCs w:val="24"/>
        </w:rPr>
        <w:t>42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عدم کاربرد علامت زده باشد جمع امتیازات مربوط به موارد علامت زده شده را از ستون سوم بدست آورده و از </w:t>
      </w:r>
      <w:r w:rsidRPr="00232FEF">
        <w:rPr>
          <w:rFonts w:ascii="Mitra" w:eastAsia="Mitra" w:hAnsi="Mitra" w:cs="B Nazanin"/>
          <w:sz w:val="24"/>
          <w:szCs w:val="24"/>
        </w:rPr>
        <w:t>100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کم کرده و در مخرج کسر قرار داده میشود و به صورت زیر محاسبه می گردد:  </w:t>
      </w:r>
    </w:p>
    <w:p w:rsidR="00F35418" w:rsidRPr="00232FEF" w:rsidRDefault="00232FEF" w:rsidP="00232FEF">
      <w:pPr>
        <w:spacing w:after="0" w:line="360" w:lineRule="auto"/>
        <w:ind w:left="532" w:right="1360" w:hanging="10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  <w:szCs w:val="24"/>
          <w:rtl/>
        </w:rPr>
        <w:t>جمع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  <w:rtl/>
        </w:rPr>
        <w:t>امتیازات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  <w:rtl/>
        </w:rPr>
        <w:t>کسب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  <w:rtl/>
        </w:rPr>
        <w:t>شده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</w:t>
      </w:r>
    </w:p>
    <w:p w:rsidR="00F35418" w:rsidRPr="00232FEF" w:rsidRDefault="00232FEF" w:rsidP="00232FEF">
      <w:pPr>
        <w:spacing w:after="0" w:line="360" w:lineRule="auto"/>
        <w:ind w:left="532" w:hanging="10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</w:rPr>
        <w:t>100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</w:t>
      </w:r>
      <w:r w:rsidRPr="00232FEF">
        <w:rPr>
          <w:rFonts w:ascii="Cambria Math" w:eastAsia="Cambria Math" w:hAnsi="Cambria Math" w:cs="Cambria Math" w:hint="cs"/>
          <w:sz w:val="24"/>
          <w:szCs w:val="24"/>
          <w:rtl/>
        </w:rPr>
        <w:t>∗</w:t>
      </w:r>
      <w:r w:rsidRPr="00232FEF">
        <w:rPr>
          <w:rFonts w:ascii="Cambria Math" w:eastAsia="Cambria Math" w:hAnsi="Cambria Math" w:cs="B Nazanin"/>
          <w:sz w:val="37"/>
          <w:szCs w:val="37"/>
          <w:vertAlign w:val="subscript"/>
          <w:rtl/>
        </w:rPr>
        <w:t xml:space="preserve"> (</w:t>
      </w:r>
      <w:r w:rsidRPr="00232FEF">
        <w:rPr>
          <w:rFonts w:ascii="Mitra" w:eastAsia="Mitra" w:hAnsi="Mitra" w:cs="B Nazanin"/>
          <w:sz w:val="24"/>
          <w:szCs w:val="24"/>
        </w:rPr>
        <w:t>2</w:t>
      </w:r>
      <w:r w:rsidRPr="00232FEF">
        <w:rPr>
          <w:rFonts w:ascii="Cambria Math" w:eastAsia="Cambria Math" w:hAnsi="Cambria Math" w:cs="B Nazanin"/>
          <w:sz w:val="37"/>
          <w:szCs w:val="37"/>
          <w:vertAlign w:val="subscript"/>
          <w:rtl/>
        </w:rPr>
        <w:t xml:space="preserve"> +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</w:rPr>
        <w:t>2</w:t>
      </w:r>
      <w:r w:rsidRPr="00232FEF">
        <w:rPr>
          <w:rFonts w:ascii="Cambria Math" w:eastAsia="Cambria Math" w:hAnsi="Cambria Math" w:cs="B Nazanin"/>
          <w:sz w:val="37"/>
          <w:szCs w:val="37"/>
          <w:vertAlign w:val="subscript"/>
          <w:rtl/>
        </w:rPr>
        <w:t xml:space="preserve"> +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</w:rPr>
        <w:t>2</w:t>
      </w:r>
      <w:r w:rsidRPr="00232FEF">
        <w:rPr>
          <w:rFonts w:ascii="Cambria Math" w:eastAsia="Cambria Math" w:hAnsi="Cambria Math" w:cs="B Nazanin"/>
          <w:sz w:val="37"/>
          <w:szCs w:val="37"/>
          <w:vertAlign w:val="subscript"/>
          <w:rtl/>
        </w:rPr>
        <w:t xml:space="preserve"> +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</w:rPr>
        <w:t>5</w:t>
      </w:r>
      <w:r w:rsidRPr="00232FEF">
        <w:rPr>
          <w:rFonts w:ascii="Cambria Math" w:eastAsia="Cambria Math" w:hAnsi="Cambria Math" w:cs="B Nazanin"/>
          <w:sz w:val="37"/>
          <w:szCs w:val="37"/>
          <w:vertAlign w:val="subscript"/>
          <w:rtl/>
        </w:rPr>
        <w:t xml:space="preserve">) </w:t>
      </w:r>
      <w:r w:rsidRPr="00232FEF">
        <w:rPr>
          <w:rFonts w:ascii="Times New Roman" w:eastAsia="Cambria Math" w:hAnsi="Times New Roman" w:cs="Times New Roman" w:hint="cs"/>
          <w:sz w:val="37"/>
          <w:szCs w:val="37"/>
          <w:vertAlign w:val="subscript"/>
          <w:rtl/>
        </w:rPr>
        <w:t>−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</w:t>
      </w:r>
      <w:r w:rsidRPr="00232FEF">
        <w:rPr>
          <w:rFonts w:cs="B Nazanin"/>
          <w:noProof/>
        </w:rPr>
        <mc:AlternateContent>
          <mc:Choice Requires="wpg">
            <w:drawing>
              <wp:inline distT="0" distB="0" distL="0" distR="0">
                <wp:extent cx="1280414" cy="10668"/>
                <wp:effectExtent l="0" t="0" r="0" b="0"/>
                <wp:docPr id="102149" name="Group 102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414" cy="10668"/>
                          <a:chOff x="0" y="0"/>
                          <a:chExt cx="1280414" cy="10668"/>
                        </a:xfrm>
                      </wpg:grpSpPr>
                      <wps:wsp>
                        <wps:cNvPr id="192388" name="Shape 192388"/>
                        <wps:cNvSpPr/>
                        <wps:spPr>
                          <a:xfrm>
                            <a:off x="0" y="0"/>
                            <a:ext cx="128041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4" h="10668">
                                <a:moveTo>
                                  <a:pt x="0" y="0"/>
                                </a:moveTo>
                                <a:lnTo>
                                  <a:pt x="1280414" y="0"/>
                                </a:lnTo>
                                <a:lnTo>
                                  <a:pt x="128041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149" style="width:100.82pt;height:0.840027pt;mso-position-horizontal-relative:char;mso-position-vertical-relative:line" coordsize="12804,106">
                <v:shape id="Shape 192389" style="position:absolute;width:12804;height:106;left:0;top:0;" coordsize="1280414,10668" path="m0,0l1280414,0l1280414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232FEF">
        <w:rPr>
          <w:rFonts w:ascii="Mitra" w:eastAsia="Mitra" w:hAnsi="Mitra" w:cs="B Nazanin"/>
          <w:sz w:val="24"/>
          <w:szCs w:val="24"/>
        </w:rPr>
        <w:t>100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=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درصد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  <w:rtl/>
        </w:rPr>
        <w:t>امتیاز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  <w:rtl/>
        </w:rPr>
        <w:t>کسب</w:t>
      </w:r>
      <w:r w:rsidRPr="00232FEF">
        <w:rPr>
          <w:rFonts w:ascii="Cambria Math" w:eastAsia="Cambria Math" w:hAnsi="Cambria Math" w:cs="B Nazanin"/>
          <w:sz w:val="24"/>
          <w:szCs w:val="24"/>
          <w:rtl/>
        </w:rPr>
        <w:t xml:space="preserve"> </w:t>
      </w:r>
      <w:r w:rsidRPr="00232FEF">
        <w:rPr>
          <w:rFonts w:ascii="Mitra" w:eastAsia="Mitra" w:hAnsi="Mitra" w:cs="B Nazanin"/>
          <w:sz w:val="24"/>
          <w:szCs w:val="24"/>
          <w:rtl/>
        </w:rPr>
        <w:t>شده</w:t>
      </w:r>
    </w:p>
    <w:p w:rsidR="00F35418" w:rsidRPr="00232FEF" w:rsidRDefault="00232FEF" w:rsidP="00232FEF">
      <w:pPr>
        <w:spacing w:after="0" w:line="360" w:lineRule="auto"/>
        <w:ind w:left="563" w:right="133" w:hanging="8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  <w:szCs w:val="24"/>
          <w:rtl/>
        </w:rPr>
        <w:t xml:space="preserve">اگر به فرض جمع امتیازات کسب شده فرد </w:t>
      </w:r>
      <w:r w:rsidRPr="00232FEF">
        <w:rPr>
          <w:rFonts w:ascii="Mitra" w:eastAsia="Mitra" w:hAnsi="Mitra" w:cs="B Nazanin"/>
          <w:sz w:val="24"/>
          <w:szCs w:val="24"/>
        </w:rPr>
        <w:t>80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باشد درصد امتیاز وی از تقسیم </w:t>
      </w:r>
      <w:r w:rsidRPr="00232FEF">
        <w:rPr>
          <w:rFonts w:ascii="Mitra" w:eastAsia="Mitra" w:hAnsi="Mitra" w:cs="B Nazanin"/>
          <w:sz w:val="24"/>
          <w:szCs w:val="24"/>
        </w:rPr>
        <w:t>80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بر </w:t>
      </w:r>
      <w:r w:rsidRPr="00232FEF">
        <w:rPr>
          <w:rFonts w:ascii="Mitra" w:eastAsia="Mitra" w:hAnsi="Mitra" w:cs="B Nazanin"/>
          <w:sz w:val="24"/>
          <w:szCs w:val="24"/>
        </w:rPr>
        <w:t>89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ضربدر </w:t>
      </w:r>
      <w:r w:rsidRPr="00232FEF">
        <w:rPr>
          <w:rFonts w:ascii="Mitra" w:eastAsia="Mitra" w:hAnsi="Mitra" w:cs="B Nazanin"/>
          <w:sz w:val="24"/>
          <w:szCs w:val="24"/>
        </w:rPr>
        <w:t>100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بدست خواهد آمد که </w:t>
      </w:r>
      <w:r w:rsidRPr="00232FEF">
        <w:rPr>
          <w:rFonts w:ascii="Mitra" w:eastAsia="Mitra" w:hAnsi="Mitra" w:cs="B Nazanin"/>
          <w:sz w:val="24"/>
          <w:szCs w:val="24"/>
        </w:rPr>
        <w:t>89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درصد می شود. </w:t>
      </w:r>
    </w:p>
    <w:p w:rsidR="00F35418" w:rsidRPr="00232FEF" w:rsidRDefault="00232FEF" w:rsidP="00232FEF">
      <w:pPr>
        <w:spacing w:after="0" w:line="360" w:lineRule="auto"/>
        <w:ind w:left="566" w:hanging="10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  <w:szCs w:val="24"/>
          <w:rtl/>
        </w:rPr>
        <w:t xml:space="preserve">لازم به ذکر است که عدد </w:t>
      </w:r>
      <w:r w:rsidRPr="00232FEF">
        <w:rPr>
          <w:rFonts w:ascii="Mitra" w:eastAsia="Mitra" w:hAnsi="Mitra" w:cs="B Nazanin"/>
          <w:sz w:val="24"/>
          <w:szCs w:val="24"/>
        </w:rPr>
        <w:t>100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مخرج از مجموع سقف امتیازات در ستون سوم چک لیست به دست آمده است. </w:t>
      </w:r>
    </w:p>
    <w:p w:rsidR="00F35418" w:rsidRPr="00232FEF" w:rsidRDefault="00232FEF" w:rsidP="00232FEF">
      <w:pPr>
        <w:spacing w:after="0" w:line="360" w:lineRule="auto"/>
        <w:ind w:left="573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  <w:szCs w:val="24"/>
          <w:u w:val="single" w:color="000000"/>
          <w:rtl/>
        </w:rPr>
        <w:t xml:space="preserve">اگر عدد حاصل مساوی یا بیشتر از </w:t>
      </w:r>
      <w:r w:rsidRPr="00232FEF">
        <w:rPr>
          <w:rFonts w:ascii="Mitra" w:eastAsia="Mitra" w:hAnsi="Mitra" w:cs="B Nazanin"/>
          <w:sz w:val="24"/>
          <w:szCs w:val="24"/>
          <w:u w:val="single" w:color="000000"/>
        </w:rPr>
        <w:t>70</w:t>
      </w:r>
      <w:r w:rsidRPr="00232FEF">
        <w:rPr>
          <w:rFonts w:ascii="Mitra" w:eastAsia="Mitra" w:hAnsi="Mitra" w:cs="B Nazanin"/>
          <w:sz w:val="24"/>
          <w:szCs w:val="24"/>
          <w:u w:val="single" w:color="000000"/>
          <w:rtl/>
        </w:rPr>
        <w:t xml:space="preserve"> درصد باشد امکان تأیید صلاحیت فرد وجود دارد.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 </w:t>
      </w:r>
    </w:p>
    <w:p w:rsidR="00F35418" w:rsidRPr="00232FEF" w:rsidRDefault="00232FEF" w:rsidP="00232FEF">
      <w:pPr>
        <w:spacing w:after="0" w:line="360" w:lineRule="auto"/>
        <w:ind w:right="638"/>
        <w:jc w:val="both"/>
        <w:rPr>
          <w:rFonts w:cs="B Nazanin"/>
        </w:rPr>
      </w:pPr>
      <w:r w:rsidRPr="00232FEF">
        <w:rPr>
          <w:rFonts w:ascii="Mitra" w:eastAsia="Mitra" w:hAnsi="Mitra" w:cs="B Nazanin"/>
          <w:sz w:val="24"/>
        </w:rPr>
        <w:t xml:space="preserve"> </w:t>
      </w:r>
    </w:p>
    <w:p w:rsidR="00F35418" w:rsidRPr="00232FEF" w:rsidRDefault="00232FEF" w:rsidP="00232FEF">
      <w:pPr>
        <w:spacing w:after="0" w:line="360" w:lineRule="auto"/>
        <w:ind w:left="563" w:right="-14" w:hanging="8"/>
        <w:jc w:val="both"/>
        <w:rPr>
          <w:rFonts w:cs="B Nazanin"/>
        </w:rPr>
      </w:pP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 xml:space="preserve">نکته </w:t>
      </w:r>
      <w:r w:rsidRPr="00232FEF">
        <w:rPr>
          <w:rFonts w:ascii="Mitra" w:eastAsia="Mitra" w:hAnsi="Mitra" w:cs="B Nazanin"/>
          <w:b/>
          <w:bCs/>
          <w:sz w:val="24"/>
          <w:szCs w:val="24"/>
        </w:rPr>
        <w:t>3</w:t>
      </w: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 xml:space="preserve">: </w:t>
      </w:r>
      <w:r w:rsidRPr="00232FEF">
        <w:rPr>
          <w:rFonts w:ascii="Mitra" w:eastAsia="Mitra" w:hAnsi="Mitra" w:cs="B Nazanin"/>
          <w:sz w:val="24"/>
          <w:szCs w:val="24"/>
          <w:rtl/>
        </w:rPr>
        <w:t xml:space="preserve">شایان ذکر است که این امتیاز دهی مبنای تایید صلاحیت مسئولین بهداشت حرفه ای شاغل در کارگاه بوده و برای سایر تصمیم گیری ها نظیر رتبه بندی مسئولین بهداشت حرفه ای قابل استناد نمی باشد. </w:t>
      </w:r>
    </w:p>
    <w:p w:rsidR="00F35418" w:rsidRPr="00232FEF" w:rsidRDefault="00232FEF" w:rsidP="00232FEF">
      <w:pPr>
        <w:spacing w:after="0" w:line="360" w:lineRule="auto"/>
        <w:ind w:left="566" w:hanging="10"/>
        <w:jc w:val="both"/>
        <w:rPr>
          <w:rFonts w:cs="B Nazanin"/>
        </w:rPr>
      </w:pP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 xml:space="preserve">نکته </w:t>
      </w:r>
      <w:r w:rsidRPr="00232FEF">
        <w:rPr>
          <w:rFonts w:ascii="Mitra" w:eastAsia="Mitra" w:hAnsi="Mitra" w:cs="B Nazanin"/>
          <w:b/>
          <w:bCs/>
          <w:sz w:val="24"/>
          <w:szCs w:val="24"/>
        </w:rPr>
        <w:t>4</w:t>
      </w: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 xml:space="preserve">: </w:t>
      </w:r>
      <w:r w:rsidRPr="00232FEF">
        <w:rPr>
          <w:rFonts w:ascii="Mitra" w:eastAsia="Mitra" w:hAnsi="Mitra" w:cs="B Nazanin"/>
          <w:sz w:val="24"/>
          <w:szCs w:val="24"/>
          <w:rtl/>
        </w:rPr>
        <w:t>در شرایط خاصی که کلیه موارد ذکر شده در چک لیست عدم کاربرد علامت می خورد این چک لیست قابل استناد نمی باشد.</w:t>
      </w:r>
      <w:r w:rsidRPr="00232FEF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F35418" w:rsidRPr="00232FEF" w:rsidRDefault="00F35418" w:rsidP="00232FEF">
      <w:pPr>
        <w:spacing w:after="0" w:line="360" w:lineRule="auto"/>
        <w:ind w:right="638"/>
        <w:jc w:val="both"/>
        <w:rPr>
          <w:rFonts w:cs="B Nazanin"/>
        </w:rPr>
      </w:pPr>
      <w:bookmarkStart w:id="0" w:name="_GoBack"/>
      <w:bookmarkEnd w:id="0"/>
    </w:p>
    <w:p w:rsidR="00F35418" w:rsidRPr="00232FEF" w:rsidRDefault="00232FEF" w:rsidP="00E129C6">
      <w:pPr>
        <w:spacing w:after="0" w:line="360" w:lineRule="auto"/>
        <w:ind w:left="503" w:right="2337" w:firstLine="2338"/>
        <w:jc w:val="both"/>
        <w:rPr>
          <w:rFonts w:cs="B Nazanin"/>
        </w:rPr>
      </w:pPr>
      <w:r w:rsidRPr="00232FEF">
        <w:rPr>
          <w:rFonts w:ascii="Mitra" w:eastAsia="Mitra" w:hAnsi="Mitra" w:cs="B Nazanin"/>
          <w:b/>
          <w:bCs/>
          <w:sz w:val="24"/>
          <w:szCs w:val="24"/>
          <w:rtl/>
        </w:rPr>
        <w:t xml:space="preserve"> </w:t>
      </w:r>
    </w:p>
    <w:sectPr w:rsidR="00F35418" w:rsidRPr="00232FEF" w:rsidSect="00E129C6">
      <w:footerReference w:type="even" r:id="rId7"/>
      <w:footerReference w:type="default" r:id="rId8"/>
      <w:footerReference w:type="first" r:id="rId9"/>
      <w:pgSz w:w="12240" w:h="15840"/>
      <w:pgMar w:top="180" w:right="540" w:bottom="990" w:left="1710" w:header="720" w:footer="72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D8" w:rsidRDefault="00232FEF">
      <w:pPr>
        <w:spacing w:after="0" w:line="240" w:lineRule="auto"/>
      </w:pPr>
      <w:r>
        <w:separator/>
      </w:r>
    </w:p>
  </w:endnote>
  <w:endnote w:type="continuationSeparator" w:id="0">
    <w:p w:rsidR="006617D8" w:rsidRDefault="0023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18" w:rsidRDefault="00232FEF">
    <w:pPr>
      <w:bidi w:val="0"/>
      <w:spacing w:after="0"/>
      <w:ind w:right="678"/>
      <w:jc w:val="center"/>
    </w:pPr>
    <w:r>
      <w:rPr>
        <w:rFonts w:ascii="Times New Roman" w:eastAsia="Times New Roman" w:hAnsi="Times New Roman" w:cs="Times New Roman"/>
        <w:color w:val="4F81BD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4F81BD"/>
        <w:sz w:val="24"/>
      </w:rPr>
      <w:t>1</w:t>
    </w:r>
    <w:r>
      <w:rPr>
        <w:rFonts w:ascii="Times New Roman" w:eastAsia="Times New Roman" w:hAnsi="Times New Roman" w:cs="Times New Roman"/>
        <w:color w:val="4F81BD"/>
        <w:sz w:val="24"/>
      </w:rPr>
      <w:fldChar w:fldCharType="end"/>
    </w:r>
  </w:p>
  <w:p w:rsidR="00F35418" w:rsidRDefault="00232FEF">
    <w:pPr>
      <w:bidi w:val="0"/>
      <w:spacing w:after="0"/>
      <w:ind w:right="62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18" w:rsidRDefault="00232FEF">
    <w:pPr>
      <w:bidi w:val="0"/>
      <w:spacing w:after="0"/>
      <w:ind w:right="678"/>
      <w:jc w:val="center"/>
    </w:pPr>
    <w:r>
      <w:rPr>
        <w:rFonts w:ascii="Times New Roman" w:eastAsia="Times New Roman" w:hAnsi="Times New Roman" w:cs="Times New Roman"/>
        <w:color w:val="4F81BD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B379D" w:rsidRPr="000B379D">
      <w:rPr>
        <w:rFonts w:ascii="Times New Roman" w:eastAsia="Times New Roman" w:hAnsi="Times New Roman" w:cs="Times New Roman"/>
        <w:noProof/>
        <w:color w:val="4F81BD"/>
        <w:sz w:val="24"/>
      </w:rPr>
      <w:t>1</w:t>
    </w:r>
    <w:r>
      <w:rPr>
        <w:rFonts w:ascii="Times New Roman" w:eastAsia="Times New Roman" w:hAnsi="Times New Roman" w:cs="Times New Roman"/>
        <w:color w:val="4F81BD"/>
        <w:sz w:val="24"/>
      </w:rPr>
      <w:fldChar w:fldCharType="end"/>
    </w:r>
  </w:p>
  <w:p w:rsidR="00F35418" w:rsidRDefault="00232FEF">
    <w:pPr>
      <w:bidi w:val="0"/>
      <w:spacing w:after="0"/>
      <w:ind w:right="62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18" w:rsidRDefault="00232FEF">
    <w:pPr>
      <w:bidi w:val="0"/>
      <w:spacing w:after="0"/>
      <w:ind w:right="678"/>
      <w:jc w:val="center"/>
    </w:pPr>
    <w:r>
      <w:rPr>
        <w:rFonts w:ascii="Times New Roman" w:eastAsia="Times New Roman" w:hAnsi="Times New Roman" w:cs="Times New Roman"/>
        <w:color w:val="4F81BD"/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4F81BD"/>
        <w:sz w:val="24"/>
      </w:rPr>
      <w:t>1</w:t>
    </w:r>
    <w:r>
      <w:rPr>
        <w:rFonts w:ascii="Times New Roman" w:eastAsia="Times New Roman" w:hAnsi="Times New Roman" w:cs="Times New Roman"/>
        <w:color w:val="4F81BD"/>
        <w:sz w:val="24"/>
      </w:rPr>
      <w:fldChar w:fldCharType="end"/>
    </w:r>
  </w:p>
  <w:p w:rsidR="00F35418" w:rsidRDefault="00232FEF">
    <w:pPr>
      <w:bidi w:val="0"/>
      <w:spacing w:after="0"/>
      <w:ind w:right="62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D8" w:rsidRDefault="00232FEF">
      <w:pPr>
        <w:spacing w:after="0" w:line="240" w:lineRule="auto"/>
      </w:pPr>
      <w:r>
        <w:separator/>
      </w:r>
    </w:p>
  </w:footnote>
  <w:footnote w:type="continuationSeparator" w:id="0">
    <w:p w:rsidR="006617D8" w:rsidRDefault="0023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5CD"/>
    <w:multiLevelType w:val="hybridMultilevel"/>
    <w:tmpl w:val="57A859FA"/>
    <w:lvl w:ilvl="0" w:tplc="2E90A19A">
      <w:start w:val="1"/>
      <w:numFmt w:val="bullet"/>
      <w:lvlText w:val="-"/>
      <w:lvlJc w:val="left"/>
      <w:pPr>
        <w:ind w:left="33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2AA016">
      <w:start w:val="1"/>
      <w:numFmt w:val="bullet"/>
      <w:lvlText w:val="o"/>
      <w:lvlJc w:val="left"/>
      <w:pPr>
        <w:ind w:left="121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CCD4C">
      <w:start w:val="1"/>
      <w:numFmt w:val="bullet"/>
      <w:lvlText w:val="▪"/>
      <w:lvlJc w:val="left"/>
      <w:pPr>
        <w:ind w:left="193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2A187A">
      <w:start w:val="1"/>
      <w:numFmt w:val="bullet"/>
      <w:lvlText w:val="•"/>
      <w:lvlJc w:val="left"/>
      <w:pPr>
        <w:ind w:left="265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8AA52">
      <w:start w:val="1"/>
      <w:numFmt w:val="bullet"/>
      <w:lvlText w:val="o"/>
      <w:lvlJc w:val="left"/>
      <w:pPr>
        <w:ind w:left="337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88F26">
      <w:start w:val="1"/>
      <w:numFmt w:val="bullet"/>
      <w:lvlText w:val="▪"/>
      <w:lvlJc w:val="left"/>
      <w:pPr>
        <w:ind w:left="409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88ECC">
      <w:start w:val="1"/>
      <w:numFmt w:val="bullet"/>
      <w:lvlText w:val="•"/>
      <w:lvlJc w:val="left"/>
      <w:pPr>
        <w:ind w:left="481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2482C">
      <w:start w:val="1"/>
      <w:numFmt w:val="bullet"/>
      <w:lvlText w:val="o"/>
      <w:lvlJc w:val="left"/>
      <w:pPr>
        <w:ind w:left="553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A8F34C">
      <w:start w:val="1"/>
      <w:numFmt w:val="bullet"/>
      <w:lvlText w:val="▪"/>
      <w:lvlJc w:val="left"/>
      <w:pPr>
        <w:ind w:left="625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20534"/>
    <w:multiLevelType w:val="hybridMultilevel"/>
    <w:tmpl w:val="909C2E2A"/>
    <w:lvl w:ilvl="0" w:tplc="50E24262">
      <w:start w:val="1"/>
      <w:numFmt w:val="bullet"/>
      <w:lvlText w:val="-"/>
      <w:lvlJc w:val="left"/>
      <w:pPr>
        <w:ind w:left="511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3ACA7E">
      <w:start w:val="1"/>
      <w:numFmt w:val="bullet"/>
      <w:lvlText w:val="o"/>
      <w:lvlJc w:val="left"/>
      <w:pPr>
        <w:ind w:left="1222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66F9F4">
      <w:start w:val="1"/>
      <w:numFmt w:val="bullet"/>
      <w:lvlText w:val="▪"/>
      <w:lvlJc w:val="left"/>
      <w:pPr>
        <w:ind w:left="1942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AD7DE">
      <w:start w:val="1"/>
      <w:numFmt w:val="bullet"/>
      <w:lvlText w:val="•"/>
      <w:lvlJc w:val="left"/>
      <w:pPr>
        <w:ind w:left="2662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09570">
      <w:start w:val="1"/>
      <w:numFmt w:val="bullet"/>
      <w:lvlText w:val="o"/>
      <w:lvlJc w:val="left"/>
      <w:pPr>
        <w:ind w:left="3382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2ACD6">
      <w:start w:val="1"/>
      <w:numFmt w:val="bullet"/>
      <w:lvlText w:val="▪"/>
      <w:lvlJc w:val="left"/>
      <w:pPr>
        <w:ind w:left="4102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C119A">
      <w:start w:val="1"/>
      <w:numFmt w:val="bullet"/>
      <w:lvlText w:val="•"/>
      <w:lvlJc w:val="left"/>
      <w:pPr>
        <w:ind w:left="4822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367830">
      <w:start w:val="1"/>
      <w:numFmt w:val="bullet"/>
      <w:lvlText w:val="o"/>
      <w:lvlJc w:val="left"/>
      <w:pPr>
        <w:ind w:left="5542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2CADE">
      <w:start w:val="1"/>
      <w:numFmt w:val="bullet"/>
      <w:lvlText w:val="▪"/>
      <w:lvlJc w:val="left"/>
      <w:pPr>
        <w:ind w:left="6262"/>
      </w:pPr>
      <w:rPr>
        <w:rFonts w:ascii="Yagut" w:eastAsia="Yagut" w:hAnsi="Yagut" w:cs="Yagu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E2CC0"/>
    <w:multiLevelType w:val="hybridMultilevel"/>
    <w:tmpl w:val="14EE543A"/>
    <w:lvl w:ilvl="0" w:tplc="8A44D4D2">
      <w:start w:val="48"/>
      <w:numFmt w:val="decimal"/>
      <w:lvlText w:val="%1."/>
      <w:lvlJc w:val="left"/>
      <w:pPr>
        <w:ind w:left="454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CC332">
      <w:start w:val="1"/>
      <w:numFmt w:val="lowerLetter"/>
      <w:lvlText w:val="%2"/>
      <w:lvlJc w:val="left"/>
      <w:pPr>
        <w:ind w:left="119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4AE3E">
      <w:start w:val="1"/>
      <w:numFmt w:val="lowerRoman"/>
      <w:lvlText w:val="%3"/>
      <w:lvlJc w:val="left"/>
      <w:pPr>
        <w:ind w:left="191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C5844">
      <w:start w:val="1"/>
      <w:numFmt w:val="decimal"/>
      <w:lvlText w:val="%4"/>
      <w:lvlJc w:val="left"/>
      <w:pPr>
        <w:ind w:left="263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2200E">
      <w:start w:val="1"/>
      <w:numFmt w:val="lowerLetter"/>
      <w:lvlText w:val="%5"/>
      <w:lvlJc w:val="left"/>
      <w:pPr>
        <w:ind w:left="335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F46462">
      <w:start w:val="1"/>
      <w:numFmt w:val="lowerRoman"/>
      <w:lvlText w:val="%6"/>
      <w:lvlJc w:val="left"/>
      <w:pPr>
        <w:ind w:left="407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69448">
      <w:start w:val="1"/>
      <w:numFmt w:val="decimal"/>
      <w:lvlText w:val="%7"/>
      <w:lvlJc w:val="left"/>
      <w:pPr>
        <w:ind w:left="479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C532E">
      <w:start w:val="1"/>
      <w:numFmt w:val="lowerLetter"/>
      <w:lvlText w:val="%8"/>
      <w:lvlJc w:val="left"/>
      <w:pPr>
        <w:ind w:left="551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F0D82A">
      <w:start w:val="1"/>
      <w:numFmt w:val="lowerRoman"/>
      <w:lvlText w:val="%9"/>
      <w:lvlJc w:val="left"/>
      <w:pPr>
        <w:ind w:left="623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8B300A"/>
    <w:multiLevelType w:val="hybridMultilevel"/>
    <w:tmpl w:val="5BD0CF2A"/>
    <w:lvl w:ilvl="0" w:tplc="F2AAFF42">
      <w:start w:val="1"/>
      <w:numFmt w:val="decimal"/>
      <w:lvlText w:val="%1."/>
      <w:lvlJc w:val="left"/>
      <w:pPr>
        <w:ind w:left="56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629404">
      <w:start w:val="1"/>
      <w:numFmt w:val="lowerLetter"/>
      <w:lvlText w:val="%2"/>
      <w:lvlJc w:val="left"/>
      <w:pPr>
        <w:ind w:left="116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6082C">
      <w:start w:val="1"/>
      <w:numFmt w:val="lowerRoman"/>
      <w:lvlText w:val="%3"/>
      <w:lvlJc w:val="left"/>
      <w:pPr>
        <w:ind w:left="18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ECF52">
      <w:start w:val="1"/>
      <w:numFmt w:val="decimal"/>
      <w:lvlText w:val="%4"/>
      <w:lvlJc w:val="left"/>
      <w:pPr>
        <w:ind w:left="260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E03F8">
      <w:start w:val="1"/>
      <w:numFmt w:val="lowerLetter"/>
      <w:lvlText w:val="%5"/>
      <w:lvlJc w:val="left"/>
      <w:pPr>
        <w:ind w:left="332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E98C8">
      <w:start w:val="1"/>
      <w:numFmt w:val="lowerRoman"/>
      <w:lvlText w:val="%6"/>
      <w:lvlJc w:val="left"/>
      <w:pPr>
        <w:ind w:left="404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ED8F8">
      <w:start w:val="1"/>
      <w:numFmt w:val="decimal"/>
      <w:lvlText w:val="%7"/>
      <w:lvlJc w:val="left"/>
      <w:pPr>
        <w:ind w:left="476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E71E4">
      <w:start w:val="1"/>
      <w:numFmt w:val="lowerLetter"/>
      <w:lvlText w:val="%8"/>
      <w:lvlJc w:val="left"/>
      <w:pPr>
        <w:ind w:left="54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290A6">
      <w:start w:val="1"/>
      <w:numFmt w:val="lowerRoman"/>
      <w:lvlText w:val="%9"/>
      <w:lvlJc w:val="left"/>
      <w:pPr>
        <w:ind w:left="620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7F4A88"/>
    <w:multiLevelType w:val="hybridMultilevel"/>
    <w:tmpl w:val="2728822E"/>
    <w:lvl w:ilvl="0" w:tplc="7D1C42D0">
      <w:start w:val="32"/>
      <w:numFmt w:val="decimal"/>
      <w:lvlText w:val="%1."/>
      <w:lvlJc w:val="left"/>
      <w:pPr>
        <w:ind w:left="4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8F0E6">
      <w:start w:val="1"/>
      <w:numFmt w:val="lowerLetter"/>
      <w:lvlText w:val="%2"/>
      <w:lvlJc w:val="left"/>
      <w:pPr>
        <w:ind w:left="119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2968A">
      <w:start w:val="1"/>
      <w:numFmt w:val="lowerRoman"/>
      <w:lvlText w:val="%3"/>
      <w:lvlJc w:val="left"/>
      <w:pPr>
        <w:ind w:left="191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1E4C">
      <w:start w:val="1"/>
      <w:numFmt w:val="decimal"/>
      <w:lvlText w:val="%4"/>
      <w:lvlJc w:val="left"/>
      <w:pPr>
        <w:ind w:left="263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EA6E6">
      <w:start w:val="1"/>
      <w:numFmt w:val="lowerLetter"/>
      <w:lvlText w:val="%5"/>
      <w:lvlJc w:val="left"/>
      <w:pPr>
        <w:ind w:left="335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A3F80">
      <w:start w:val="1"/>
      <w:numFmt w:val="lowerRoman"/>
      <w:lvlText w:val="%6"/>
      <w:lvlJc w:val="left"/>
      <w:pPr>
        <w:ind w:left="407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6D4E6">
      <w:start w:val="1"/>
      <w:numFmt w:val="decimal"/>
      <w:lvlText w:val="%7"/>
      <w:lvlJc w:val="left"/>
      <w:pPr>
        <w:ind w:left="479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6EF60">
      <w:start w:val="1"/>
      <w:numFmt w:val="lowerLetter"/>
      <w:lvlText w:val="%8"/>
      <w:lvlJc w:val="left"/>
      <w:pPr>
        <w:ind w:left="551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45BB4">
      <w:start w:val="1"/>
      <w:numFmt w:val="lowerRoman"/>
      <w:lvlText w:val="%9"/>
      <w:lvlJc w:val="left"/>
      <w:pPr>
        <w:ind w:left="623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18"/>
    <w:rsid w:val="000B379D"/>
    <w:rsid w:val="00232FEF"/>
    <w:rsid w:val="004B26A7"/>
    <w:rsid w:val="00530D12"/>
    <w:rsid w:val="006617D8"/>
    <w:rsid w:val="00E129C6"/>
    <w:rsid w:val="00F3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D644"/>
  <w15:docId w15:val="{442F6263-AFA6-439B-84B5-98A3966F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227"/>
      <w:ind w:left="16" w:hanging="10"/>
      <w:outlineLvl w:val="0"/>
    </w:pPr>
    <w:rPr>
      <w:rFonts w:ascii="Mitra" w:eastAsia="Mitra" w:hAnsi="Mitra" w:cs="Mitra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itra" w:eastAsia="Mitra" w:hAnsi="Mitra" w:cs="Mitr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Aghdas Honjani</cp:lastModifiedBy>
  <cp:revision>6</cp:revision>
  <dcterms:created xsi:type="dcterms:W3CDTF">2023-06-21T05:16:00Z</dcterms:created>
  <dcterms:modified xsi:type="dcterms:W3CDTF">2023-06-21T06:24:00Z</dcterms:modified>
</cp:coreProperties>
</file>